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292026_080427.xml.htm"/>
      <w:bookmarkStart w:id="1" w:name="ksform404292026_0804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COTTER ELLEN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 SECOND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READING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Director, President and CEO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Sec.13(d)(3)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7" name="Image7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age7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6"/>
        <w:gridCol w:w="905"/>
        <w:gridCol w:w="774"/>
        <w:gridCol w:w="601"/>
        <w:gridCol w:w="348"/>
        <w:gridCol w:w="802"/>
        <w:gridCol w:w="453"/>
        <w:gridCol w:w="616"/>
        <w:gridCol w:w="1279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1,066,822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116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269,043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Non-Voting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269,043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269,043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Class A Non-Voting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granted pursuant to the Company's 2020 Stock Incentive Plan and will fully vest on April 27,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Ellen Cotter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0902" TargetMode="External"/><Relationship Id="rId5" Type="http://schemas.openxmlformats.org/officeDocument/2006/relationships/hyperlink" Target="http://www.sec.gov/cgi-bin/browse-edgar?action=getcompany&amp;CIK=0000716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https://cdn.kscope.io/box-checked.jpg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3377</Characters>
  <CharactersWithSpaces>3939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