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6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6826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Lucas Steven John</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000" w:type="dxa"/>
            <w:vAlign w:val="bottom"/>
          </w:tcPr>
          <w:p>
            <w:pPr>
              <w:ind w:left="160"/>
              <w:spacing w:after="0"/>
              <w:rPr>
                <w:sz w:val="20"/>
                <w:szCs w:val="20"/>
                <w:color w:val="auto"/>
              </w:rPr>
            </w:pPr>
            <w:r>
              <w:rPr>
                <w:rFonts w:ascii="Arial" w:cs="Arial" w:eastAsia="Arial" w:hAnsi="Arial"/>
                <w:sz w:val="13"/>
                <w:szCs w:val="13"/>
                <w:color w:val="auto"/>
              </w:rPr>
              <w:t>(First)</w:t>
            </w:r>
          </w:p>
        </w:tc>
        <w:tc>
          <w:tcPr>
            <w:tcW w:w="1560" w:type="dxa"/>
            <w:vAlign w:val="bottom"/>
          </w:tcPr>
          <w:p>
            <w:pPr>
              <w:ind w:left="38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189 SECOND AVENUE</w:t>
            </w:r>
          </w:p>
        </w:tc>
        <w:tc>
          <w:tcPr>
            <w:tcW w:w="156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2S</w:t>
            </w:r>
          </w:p>
        </w:tc>
        <w:tc>
          <w:tcPr>
            <w:tcW w:w="10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0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5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10003</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560" w:type="dxa"/>
            <w:vAlign w:val="bottom"/>
          </w:tcPr>
          <w:p>
            <w:pPr>
              <w:ind w:left="3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READING INTERNATIONAL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RDI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920" w:type="dxa"/>
            <w:vAlign w:val="bottom"/>
            <w:tcBorders>
              <w:top w:val="single" w:sz="8" w:color="0000EE"/>
            </w:tcBorders>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2"/>
        </w:trPr>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9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0000FF"/>
              </w:rPr>
              <w:t>VP, Controller &amp; CAO</w:t>
            </w:r>
          </w:p>
        </w:tc>
        <w:tc>
          <w:tcPr>
            <w:tcW w:w="0" w:type="dxa"/>
            <w:vAlign w:val="bottom"/>
          </w:tcPr>
          <w:p>
            <w:pPr>
              <w:spacing w:after="0"/>
              <w:rPr>
                <w:sz w:val="1"/>
                <w:szCs w:val="1"/>
                <w:color w:val="auto"/>
              </w:rPr>
            </w:pPr>
          </w:p>
        </w:tc>
      </w:tr>
      <w:tr>
        <w:trPr>
          <w:trHeight w:val="219"/>
        </w:trPr>
        <w:tc>
          <w:tcPr>
            <w:tcW w:w="31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04/18/2026</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w w:val="99"/>
              </w:rPr>
              <w:t>Class A Non-Voting Common Stock</w:t>
            </w:r>
          </w:p>
        </w:tc>
        <w:tc>
          <w:tcPr>
            <w:tcW w:w="180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04/18/2026</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3,685</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32,091</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2"/>
                <w:szCs w:val="12"/>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jc w:val="center"/>
              <w:ind w:right="58"/>
              <w:spacing w:after="0" w:line="143"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3,685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04/18/2026</w:t>
            </w:r>
          </w:p>
        </w:tc>
        <w:tc>
          <w:tcPr>
            <w:tcW w:w="108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3,685</w:t>
            </w: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20" w:type="dxa"/>
            <w:vAlign w:val="bottom"/>
          </w:tcPr>
          <w:p>
            <w:pPr>
              <w:jc w:val="center"/>
              <w:ind w:right="58"/>
              <w:spacing w:after="0" w:line="143"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-2290445</wp:posOffset>
            </wp:positionV>
            <wp:extent cx="29210" cy="2295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955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contingent right to receive one share of Class A Non-Voting Common Stock upon vesting of the unit.</w:t>
      </w:r>
    </w:p>
    <w:p>
      <w:pPr>
        <w:spacing w:after="0" w:line="45" w:lineRule="exact"/>
        <w:rPr>
          <w:rFonts w:ascii="Times New Roman" w:cs="Times New Roman" w:eastAsia="Times New Roman" w:hAnsi="Times New Roman"/>
          <w:sz w:val="13"/>
          <w:szCs w:val="13"/>
          <w:color w:val="008000"/>
        </w:rPr>
      </w:pPr>
    </w:p>
    <w:p>
      <w:pPr>
        <w:ind w:left="40" w:right="3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previously reported, a total of 19,657 restricted stock units were granted on April 18, 2022 pursuant to the Company's 2020 Stock Incentive Plan. Of that amount, (i) 14,743 restricted stock units vest in four equal annual installments on April 18, 2023, April 18, 2024, April 18, 2025 and April 18, 2026; and (ii) 4,914 performance-based restricted stock units (PRSU) vest on April 18, 2025 based on the Compensation and Stock Option Committee certification of the performance level achieved.</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Steve J. Lucas</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04/21/2026</w:t>
            </w:r>
          </w:p>
        </w:tc>
      </w:tr>
      <w:tr>
        <w:trPr>
          <w:trHeight w:val="20"/>
        </w:trPr>
        <w:tc>
          <w:tcPr>
            <w:tcW w:w="11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71998" TargetMode="External"/><Relationship Id="rId14" Type="http://schemas.openxmlformats.org/officeDocument/2006/relationships/hyperlink" Target="http://www.sec.gov/cgi-bin/browse-edgar?action=getcompany&amp;CIK=00007166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2026-04-21T17:46:10Z</dcterms:created>
  <dcterms:modified xsi:type="dcterms:W3CDTF">2026-04-21T17:46:10Z</dcterms:modified>
</cp:coreProperties>
</file>